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spacing w:before="0" w:beforeAutospacing="0" w:after="0" w:afterAutospacing="0"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附件三：</w:t>
      </w:r>
    </w:p>
    <w:p>
      <w:pPr>
        <w:pStyle w:val="3"/>
        <w:keepNext w:val="0"/>
        <w:keepLines w:val="0"/>
        <w:pageBreakBefore w:val="0"/>
        <w:kinsoku/>
        <w:overflowPunct/>
        <w:topLinePunct w:val="0"/>
        <w:autoSpaceDE/>
        <w:autoSpaceDN/>
        <w:bidi w:val="0"/>
        <w:spacing w:before="0" w:beforeAutospacing="0" w:after="0" w:afterAutospacing="0" w:line="560" w:lineRule="exact"/>
        <w:jc w:val="center"/>
        <w:rPr>
          <w:rFonts w:ascii="方正小标宋简体" w:hAnsi="Tahoma" w:eastAsia="方正小标宋简体" w:cs="Tahoma"/>
          <w:sz w:val="44"/>
          <w:szCs w:val="44"/>
          <w:highlight w:val="none"/>
        </w:rPr>
      </w:pPr>
      <w:r>
        <w:rPr>
          <w:rFonts w:hint="eastAsia" w:ascii="方正小标宋简体" w:hAnsi="Tahoma" w:eastAsia="方正小标宋简体" w:cs="Tahoma"/>
          <w:sz w:val="44"/>
          <w:szCs w:val="44"/>
          <w:highlight w:val="none"/>
        </w:rPr>
        <w:t>新疆能源（集团）</w:t>
      </w:r>
      <w:r>
        <w:rPr>
          <w:rFonts w:hint="eastAsia" w:ascii="方正小标宋简体" w:hAnsi="方正小标宋简体" w:eastAsia="方正小标宋简体" w:cs="方正小标宋简体"/>
          <w:sz w:val="44"/>
          <w:szCs w:val="44"/>
          <w:highlight w:val="none"/>
        </w:rPr>
        <w:t>产业链</w:t>
      </w:r>
      <w:r>
        <w:rPr>
          <w:rFonts w:hint="eastAsia" w:ascii="方正小标宋简体" w:hAnsi="Tahoma" w:eastAsia="方正小标宋简体" w:cs="Tahoma"/>
          <w:sz w:val="44"/>
          <w:szCs w:val="44"/>
          <w:highlight w:val="none"/>
        </w:rPr>
        <w:t>有限责任公司</w:t>
      </w:r>
    </w:p>
    <w:p>
      <w:pPr>
        <w:pStyle w:val="3"/>
        <w:keepNext w:val="0"/>
        <w:keepLines w:val="0"/>
        <w:pageBreakBefore w:val="0"/>
        <w:kinsoku/>
        <w:overflowPunct/>
        <w:topLinePunct w:val="0"/>
        <w:autoSpaceDE/>
        <w:autoSpaceDN/>
        <w:bidi w:val="0"/>
        <w:spacing w:before="0" w:beforeAutospacing="0" w:after="0" w:afterAutospacing="0" w:line="560" w:lineRule="exact"/>
        <w:jc w:val="center"/>
        <w:rPr>
          <w:rFonts w:ascii="方正小标宋简体" w:eastAsia="方正小标宋简体" w:cs="Arial"/>
          <w:sz w:val="44"/>
          <w:szCs w:val="44"/>
          <w:highlight w:val="none"/>
        </w:rPr>
      </w:pPr>
      <w:r>
        <w:rPr>
          <w:rFonts w:hint="eastAsia" w:ascii="方正小标宋简体" w:eastAsia="方正小标宋简体" w:cs="Arial"/>
          <w:sz w:val="44"/>
          <w:szCs w:val="44"/>
          <w:highlight w:val="none"/>
        </w:rPr>
        <w:t>廉政合同</w:t>
      </w:r>
    </w:p>
    <w:p>
      <w:pPr>
        <w:pStyle w:val="6"/>
        <w:keepNext w:val="0"/>
        <w:keepLines w:val="0"/>
        <w:pageBreakBefore w:val="0"/>
        <w:kinsoku/>
        <w:overflowPunct/>
        <w:topLinePunct w:val="0"/>
        <w:autoSpaceDE/>
        <w:autoSpaceDN/>
        <w:bidi w:val="0"/>
        <w:spacing w:beforeAutospacing="0" w:afterAutospacing="0" w:line="560" w:lineRule="exact"/>
        <w:ind w:firstLine="198" w:firstLineChars="62"/>
        <w:jc w:val="center"/>
        <w:rPr>
          <w:rFonts w:ascii="方正小标宋简体" w:eastAsia="方正小标宋简体" w:cs="Arial"/>
          <w:sz w:val="32"/>
          <w:szCs w:val="32"/>
          <w:highlight w:val="none"/>
        </w:rPr>
      </w:pP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为认真贯彻党中央、国务院关于加大反腐败力度，推进廉政建设，预防和减少工程建设中的违纪违法行为，维护建筑市场正常秩序，保证设备物资高效优质，保证建设资金的安全、有效使用及投资效益，</w:t>
      </w:r>
      <w:r>
        <w:rPr>
          <w:rFonts w:hint="eastAsia" w:ascii="仿宋_GB2312" w:eastAsia="仿宋_GB2312" w:cs="Arial"/>
          <w:sz w:val="32"/>
          <w:szCs w:val="32"/>
          <w:highlight w:val="none"/>
          <w:u w:val="single"/>
        </w:rPr>
        <w:t>新疆能源（集团）产业链有限责任公司</w:t>
      </w:r>
      <w:r>
        <w:rPr>
          <w:rFonts w:hint="eastAsia" w:ascii="仿宋_GB2312" w:eastAsia="仿宋_GB2312" w:cs="Arial"/>
          <w:sz w:val="32"/>
          <w:szCs w:val="32"/>
          <w:highlight w:val="none"/>
        </w:rPr>
        <w:t>(以下简称“甲方”)与</w:t>
      </w:r>
      <w:r>
        <w:rPr>
          <w:rFonts w:hint="eastAsia" w:ascii="仿宋_GB2312" w:eastAsia="仿宋_GB2312" w:cs="Arial"/>
          <w:sz w:val="32"/>
          <w:szCs w:val="32"/>
          <w:highlight w:val="none"/>
          <w:u w:val="single"/>
        </w:rPr>
        <w:t xml:space="preserve">                 </w:t>
      </w:r>
      <w:r>
        <w:rPr>
          <w:rFonts w:hint="eastAsia" w:ascii="仿宋_GB2312" w:eastAsia="仿宋_GB2312" w:cs="Arial"/>
          <w:sz w:val="32"/>
          <w:szCs w:val="32"/>
          <w:highlight w:val="none"/>
        </w:rPr>
        <w:t xml:space="preserve"> (以下简称“乙方”)，特订立如下合同：</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一、双方的权利和义务</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1.严格遵守党的政策和国家法律法规的有关规定。</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2.严格执行合同文件，自觉按合同办事。</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3.双方的业务活动坚持公开、公正、诚信、透明的原则（法律认定的商业秘密和合同文件另有规定除外），不得损害国家和集体利益，不得违反工程建设管理规定。</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4.建立健全廉政制度，开展廉政教育，设立廉政告示牌，公布举报电话，监督并认真查处违法违纪行为。</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5.发现对方在业务活动中有违反廉洁规定的行为，应及时提醒、中止对方纠正。</w:t>
      </w:r>
    </w:p>
    <w:p>
      <w:pPr>
        <w:pStyle w:val="6"/>
        <w:keepNext w:val="0"/>
        <w:keepLines w:val="0"/>
        <w:pageBreakBefore w:val="0"/>
        <w:tabs>
          <w:tab w:val="left" w:pos="950"/>
        </w:tabs>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6.发现对方严重违反本合同义务条款的行为，应向其上级主管部门举报、建议给予处理。</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二、甲方的义务</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1.甲方及其工作人员不得索要或接受乙方的礼金、有价证券和贵重物品，不得在乙方报销任何应由甲方或甲方工作人员支付的费用。</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2.甲方工作人员不得参加乙方安排的宴请和娱乐活动；不得接受乙方提供的通讯、交通和其他高档办公用品等。</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3.甲方及其工作人员不得要求或接受乙方为其住房装修、婚丧嫁娶活动、配偶子女的工作安排及出国（境）旅游等。</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4.甲方工作人员及其配偶、子女不得从事与乙方设备材料有关的外购、分包等经济活动等。</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5.甲方及其工作人员不得以任何理由向乙方推荐分包人或推销材料，不得要求乙方采购甲合同规定外的材料和设备。</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6.甲方人员要秉公办事，不准营私舞弊，不准利用职权从事各种个人有偿中介活动。</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三、乙方的义务</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1.乙方不得以任何理由向甲方、监造人和设计人及其工作人员行贿或馈赠礼金、有价证券、贵重礼品。</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2.乙方不得以任何名义报销应由甲方、监造人和设计人及其工作人员单位负担或个人支付的任何费用。</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3.乙方不得以任何理由安排甲方、监理人和设计人及其工作人员参加宴请及娱乐活动。</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4.乙方不得为甲方、监造人和设计人的单位和个人购置或提供通讯工具、交通工具和高档办公用品。</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5.除甲方批准的工作外，乙方对监理人和设计人应按本廉政合同第二款甲方的义务要求履约义务。</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四、违约责任</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1.甲方及其工作人员违反本合同第1条、第2条，按照管理权限，依照有关规定给予党纪政务处理；涉嫌犯罪的，移交司法机关追究刑事责任；给乙方单位造成经济损失的，应予以赔偿。</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2.乙方及其工作人员违反本合同第1条、第3条，按照管理权限，依据有关规定给予党纪政务处理；给甲方造成经济损失的，应予以赔偿；情节严重的，甲方建议行政主管部门给予乙方处罚，同时甲方给予乙方禁止参与相关工程建设的处罚。</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黑体" w:hAnsi="黑体" w:eastAsia="黑体" w:cs="Arial"/>
          <w:sz w:val="32"/>
          <w:szCs w:val="32"/>
          <w:highlight w:val="none"/>
        </w:rPr>
        <w:t>五、双方约定：</w:t>
      </w:r>
      <w:r>
        <w:rPr>
          <w:rFonts w:hint="eastAsia" w:ascii="仿宋_GB2312" w:eastAsia="仿宋_GB2312" w:cs="Arial"/>
          <w:sz w:val="32"/>
          <w:szCs w:val="32"/>
          <w:highlight w:val="none"/>
        </w:rPr>
        <w:t>本合同由甲方与乙方或双方上级单位的纪检监察部门监督执行。由甲方或甲方上级单位的纪检监察部门约请乙方或乙方上级单位纪检监察部门对本合同执行情况进行检查，提出本合同规定范围内的裁定意见。</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六、本合同有效期为双方签署的主合同（工程建设合同）履约期内</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七、本合同作为主合同的附件，具有同等的法律效力，本合同双方签署立即生效</w:t>
      </w:r>
    </w:p>
    <w:p>
      <w:pPr>
        <w:pStyle w:val="6"/>
        <w:keepNext w:val="0"/>
        <w:keepLines w:val="0"/>
        <w:pageBreakBefore w:val="0"/>
        <w:kinsoku/>
        <w:overflowPunct/>
        <w:topLinePunct w:val="0"/>
        <w:autoSpaceDE/>
        <w:autoSpaceDN/>
        <w:bidi w:val="0"/>
        <w:spacing w:beforeAutospacing="0" w:afterAutospacing="0" w:line="560" w:lineRule="exact"/>
        <w:ind w:firstLine="640"/>
        <w:rPr>
          <w:rFonts w:ascii="黑体" w:hAnsi="黑体" w:eastAsia="黑体" w:cs="Arial"/>
          <w:sz w:val="32"/>
          <w:szCs w:val="32"/>
          <w:highlight w:val="none"/>
        </w:rPr>
      </w:pPr>
      <w:r>
        <w:rPr>
          <w:rFonts w:hint="eastAsia" w:ascii="黑体" w:hAnsi="黑体" w:eastAsia="黑体" w:cs="Arial"/>
          <w:sz w:val="32"/>
          <w:szCs w:val="32"/>
          <w:highlight w:val="none"/>
        </w:rPr>
        <w:t>八、本合同一式三份，甲方执1份，乙方执1份，能源集团纪委备案1份</w:t>
      </w:r>
    </w:p>
    <w:p>
      <w:pPr>
        <w:pStyle w:val="6"/>
        <w:keepNext w:val="0"/>
        <w:keepLines w:val="0"/>
        <w:pageBreakBefore w:val="0"/>
        <w:kinsoku/>
        <w:overflowPunct/>
        <w:topLinePunct w:val="0"/>
        <w:autoSpaceDE/>
        <w:autoSpaceDN/>
        <w:bidi w:val="0"/>
        <w:spacing w:beforeAutospacing="0" w:afterAutospacing="0" w:line="560" w:lineRule="exact"/>
        <w:ind w:firstLine="640"/>
        <w:rPr>
          <w:rFonts w:ascii="仿宋_GB2312" w:eastAsia="仿宋_GB2312" w:cs="Arial"/>
          <w:sz w:val="32"/>
          <w:szCs w:val="32"/>
          <w:highlight w:val="none"/>
        </w:rPr>
      </w:pPr>
      <w:r>
        <w:rPr>
          <w:rFonts w:hint="eastAsia" w:ascii="仿宋_GB2312" w:eastAsia="仿宋_GB2312" w:cs="Arial"/>
          <w:sz w:val="32"/>
          <w:szCs w:val="32"/>
          <w:highlight w:val="none"/>
        </w:rPr>
        <w:t>经证明，双方法定代表人或授权代表在此签字并加盖公章。签字之日起本合同生效。</w:t>
      </w:r>
    </w:p>
    <w:p>
      <w:pPr>
        <w:keepNext w:val="0"/>
        <w:keepLines w:val="0"/>
        <w:pageBreakBefore w:val="0"/>
        <w:kinsoku/>
        <w:overflowPunct/>
        <w:topLinePunct w:val="0"/>
        <w:autoSpaceDE/>
        <w:autoSpaceDN/>
        <w:bidi w:val="0"/>
        <w:spacing w:beforeAutospacing="0" w:afterAutospacing="0" w:line="560" w:lineRule="exact"/>
        <w:rPr>
          <w:highlight w:val="none"/>
        </w:rPr>
      </w:pPr>
    </w:p>
    <w:tbl>
      <w:tblPr>
        <w:tblStyle w:val="4"/>
        <w:tblpPr w:leftFromText="180" w:rightFromText="180" w:vertAnchor="text" w:horzAnchor="margin" w:tblpX="-215" w:tblpY="94"/>
        <w:tblOverlap w:val="never"/>
        <w:tblW w:w="9491" w:type="dxa"/>
        <w:tblInd w:w="0" w:type="dxa"/>
        <w:tblLayout w:type="fixed"/>
        <w:tblCellMar>
          <w:top w:w="0" w:type="dxa"/>
          <w:left w:w="108" w:type="dxa"/>
          <w:bottom w:w="0" w:type="dxa"/>
          <w:right w:w="108" w:type="dxa"/>
        </w:tblCellMar>
      </w:tblPr>
      <w:tblGrid>
        <w:gridCol w:w="4879"/>
        <w:gridCol w:w="4612"/>
      </w:tblGrid>
      <w:tr>
        <w:tblPrEx>
          <w:tblCellMar>
            <w:top w:w="0" w:type="dxa"/>
            <w:left w:w="108" w:type="dxa"/>
            <w:bottom w:w="0" w:type="dxa"/>
            <w:right w:w="108" w:type="dxa"/>
          </w:tblCellMar>
        </w:tblPrEx>
        <w:trPr>
          <w:trHeight w:val="1361" w:hRule="exact"/>
        </w:trPr>
        <w:tc>
          <w:tcPr>
            <w:tcW w:w="4879" w:type="dxa"/>
            <w:noWrap/>
            <w:vAlign w:val="to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甲  方(盖公章)：新疆能源（集团）产业链有限责任公司</w:t>
            </w:r>
          </w:p>
          <w:p>
            <w:pPr>
              <w:pStyle w:val="6"/>
              <w:keepNext w:val="0"/>
              <w:keepLines w:val="0"/>
              <w:pageBreakBefore w:val="0"/>
              <w:kinsoku/>
              <w:overflowPunct/>
              <w:topLinePunct w:val="0"/>
              <w:autoSpaceDE/>
              <w:autoSpaceDN/>
              <w:bidi w:val="0"/>
              <w:spacing w:beforeAutospacing="0" w:afterAutospacing="0" w:line="560" w:lineRule="exact"/>
              <w:ind w:firstLine="0" w:firstLineChars="0"/>
              <w:rPr>
                <w:rFonts w:ascii="仿宋_GB2312" w:eastAsia="仿宋_GB2312" w:cs="Arial"/>
                <w:sz w:val="32"/>
                <w:szCs w:val="32"/>
                <w:highlight w:val="none"/>
              </w:rPr>
            </w:pPr>
          </w:p>
        </w:tc>
        <w:tc>
          <w:tcPr>
            <w:tcW w:w="4612" w:type="dxa"/>
            <w:noWrap/>
            <w:vAlign w:val="top"/>
          </w:tcPr>
          <w:p>
            <w:pPr>
              <w:pStyle w:val="6"/>
              <w:keepNext w:val="0"/>
              <w:keepLines w:val="0"/>
              <w:pageBreakBefore w:val="0"/>
              <w:kinsoku/>
              <w:overflowPunct/>
              <w:topLinePunct w:val="0"/>
              <w:autoSpaceDE/>
              <w:autoSpaceDN/>
              <w:bidi w:val="0"/>
              <w:spacing w:beforeAutospacing="0" w:afterAutospacing="0" w:line="560" w:lineRule="exact"/>
              <w:ind w:firstLine="0" w:firstLineChars="0"/>
              <w:rPr>
                <w:rFonts w:ascii="仿宋_GB2312" w:eastAsia="仿宋_GB2312" w:cs="Arial"/>
                <w:sz w:val="32"/>
                <w:szCs w:val="32"/>
                <w:highlight w:val="none"/>
              </w:rPr>
            </w:pPr>
            <w:r>
              <w:rPr>
                <w:rFonts w:hint="eastAsia" w:ascii="仿宋_GB2312" w:eastAsia="仿宋_GB2312" w:cs="Arial"/>
                <w:sz w:val="32"/>
                <w:szCs w:val="32"/>
                <w:highlight w:val="none"/>
              </w:rPr>
              <w:t>乙  方(盖公章)：</w:t>
            </w:r>
          </w:p>
        </w:tc>
      </w:tr>
      <w:tr>
        <w:tblPrEx>
          <w:tblCellMar>
            <w:top w:w="0" w:type="dxa"/>
            <w:left w:w="108" w:type="dxa"/>
            <w:bottom w:w="0" w:type="dxa"/>
            <w:right w:w="108" w:type="dxa"/>
          </w:tblCellMar>
        </w:tblPrEx>
        <w:trPr>
          <w:trHeight w:val="1134" w:hRule="exact"/>
        </w:trPr>
        <w:tc>
          <w:tcPr>
            <w:tcW w:w="4879" w:type="dxa"/>
            <w:noWrap/>
            <w:vAlign w:val="to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法定代表人：</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(或授权代表)：</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vAlign w:val="to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法定代表人：</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(或授权代表)：</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地  址：新疆乌鲁木齐经济技术开发区玄武湖路477号</w:t>
            </w:r>
            <w:r>
              <w:rPr>
                <w:rFonts w:hint="eastAsia" w:ascii="仿宋_GB2312" w:eastAsia="仿宋_GB2312" w:cs="Arial"/>
                <w:sz w:val="32"/>
                <w:szCs w:val="32"/>
                <w:highlight w:val="none"/>
                <w:lang w:eastAsia="zh-CN"/>
              </w:rPr>
              <w:t>新疆能源大厦</w:t>
            </w:r>
            <w:r>
              <w:rPr>
                <w:rFonts w:hint="eastAsia" w:ascii="仿宋_GB2312" w:eastAsia="仿宋_GB2312" w:cs="Arial"/>
                <w:sz w:val="32"/>
                <w:szCs w:val="32"/>
                <w:highlight w:val="none"/>
              </w:rPr>
              <w:t>23层</w:t>
            </w: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地  址：</w:t>
            </w:r>
          </w:p>
        </w:tc>
      </w:tr>
      <w:tr>
        <w:tblPrEx>
          <w:tblCellMar>
            <w:top w:w="0" w:type="dxa"/>
            <w:left w:w="108" w:type="dxa"/>
            <w:bottom w:w="0" w:type="dxa"/>
            <w:right w:w="108" w:type="dxa"/>
          </w:tblCellMar>
        </w:tblPrEx>
        <w:trPr>
          <w:trHeight w:val="868" w:hRule="atLeast"/>
        </w:trPr>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邮  编：830022</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邮  编：</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hint="default" w:ascii="仿宋_GB2312" w:eastAsia="仿宋_GB2312" w:cs="Arial"/>
                <w:sz w:val="32"/>
                <w:szCs w:val="32"/>
                <w:highlight w:val="none"/>
                <w:lang w:val="en-US" w:eastAsia="zh-CN"/>
              </w:rPr>
            </w:pPr>
            <w:r>
              <w:rPr>
                <w:rFonts w:hint="eastAsia" w:ascii="仿宋_GB2312" w:eastAsia="仿宋_GB2312" w:cs="Arial"/>
                <w:sz w:val="32"/>
                <w:szCs w:val="32"/>
                <w:highlight w:val="none"/>
              </w:rPr>
              <w:t>电  话：0991</w:t>
            </w:r>
            <w:r>
              <w:rPr>
                <w:rFonts w:ascii="仿宋_GB2312" w:eastAsia="仿宋_GB2312" w:cs="Arial"/>
                <w:sz w:val="32"/>
                <w:szCs w:val="32"/>
                <w:highlight w:val="none"/>
              </w:rPr>
              <w:t>-</w:t>
            </w:r>
            <w:r>
              <w:rPr>
                <w:rFonts w:hint="eastAsia" w:ascii="仿宋_GB2312" w:eastAsia="仿宋_GB2312" w:cs="Arial"/>
                <w:sz w:val="32"/>
                <w:szCs w:val="32"/>
                <w:highlight w:val="none"/>
              </w:rPr>
              <w:t>75312</w:t>
            </w:r>
            <w:r>
              <w:rPr>
                <w:rFonts w:hint="eastAsia" w:ascii="仿宋_GB2312" w:eastAsia="仿宋_GB2312" w:cs="Arial"/>
                <w:sz w:val="32"/>
                <w:szCs w:val="32"/>
                <w:highlight w:val="none"/>
                <w:lang w:val="en-US" w:eastAsia="zh-CN"/>
              </w:rPr>
              <w:t>11</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电  话：</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身份证号：</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身份证号：</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手  机：</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手  机：</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传  真：</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传  真：</w:t>
            </w:r>
          </w:p>
        </w:tc>
      </w:tr>
      <w:tr>
        <w:tblPrEx>
          <w:tblCellMar>
            <w:top w:w="0" w:type="dxa"/>
            <w:left w:w="108" w:type="dxa"/>
            <w:bottom w:w="0" w:type="dxa"/>
            <w:right w:w="108" w:type="dxa"/>
          </w:tblCellMar>
        </w:tblPrEx>
        <w:tc>
          <w:tcPr>
            <w:tcW w:w="4879"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日  期：</w:t>
            </w:r>
          </w:p>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p>
        </w:tc>
        <w:tc>
          <w:tcPr>
            <w:tcW w:w="4612" w:type="dxa"/>
            <w:noWrap/>
          </w:tcPr>
          <w:p>
            <w:pPr>
              <w:pStyle w:val="6"/>
              <w:keepNext w:val="0"/>
              <w:keepLines w:val="0"/>
              <w:pageBreakBefore w:val="0"/>
              <w:kinsoku/>
              <w:overflowPunct/>
              <w:topLinePunct w:val="0"/>
              <w:autoSpaceDE/>
              <w:autoSpaceDN/>
              <w:bidi w:val="0"/>
              <w:spacing w:beforeAutospacing="0" w:afterAutospacing="0" w:line="560" w:lineRule="exact"/>
              <w:ind w:firstLine="0" w:firstLineChars="0"/>
              <w:jc w:val="left"/>
              <w:rPr>
                <w:rFonts w:ascii="仿宋_GB2312" w:eastAsia="仿宋_GB2312" w:cs="Arial"/>
                <w:sz w:val="32"/>
                <w:szCs w:val="32"/>
                <w:highlight w:val="none"/>
              </w:rPr>
            </w:pPr>
            <w:r>
              <w:rPr>
                <w:rFonts w:hint="eastAsia" w:ascii="仿宋_GB2312" w:eastAsia="仿宋_GB2312" w:cs="Arial"/>
                <w:sz w:val="32"/>
                <w:szCs w:val="32"/>
                <w:highlight w:val="none"/>
              </w:rPr>
              <w:t>日  期：</w:t>
            </w:r>
          </w:p>
        </w:tc>
      </w:tr>
    </w:tbl>
    <w:p>
      <w:pPr>
        <w:pStyle w:val="3"/>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0" w:firstLineChars="0"/>
        <w:jc w:val="left"/>
        <w:textAlignment w:val="auto"/>
        <w:rPr>
          <w:rFonts w:hint="eastAsia" w:ascii="仿宋_GB2312" w:eastAsia="仿宋_GB2312"/>
          <w:b/>
          <w:color w:val="000000" w:themeColor="text1"/>
          <w:sz w:val="32"/>
          <w:szCs w:val="32"/>
          <w:highlight w:val="none"/>
          <w14:textFill>
            <w14:solidFill>
              <w14:schemeClr w14:val="tx1"/>
            </w14:solidFill>
          </w14:textFill>
        </w:rPr>
        <w:sectPr>
          <w:pgSz w:w="11906" w:h="16838"/>
          <w:pgMar w:top="2098" w:right="1531" w:bottom="1984" w:left="1531" w:header="851" w:footer="992" w:gutter="0"/>
          <w:cols w:space="425" w:num="1"/>
          <w:docGrid w:type="lines" w:linePitch="312" w:charSpace="0"/>
        </w:sectPr>
      </w:pPr>
      <w:bookmarkStart w:id="0" w:name="_GoBack"/>
      <w:bookmarkEnd w:id="0"/>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5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tabs>
        <w:tab w:val="right" w:pos="8640"/>
      </w:tabs>
      <w:spacing w:after="120"/>
      <w:ind w:left="1440" w:leftChars="700" w:right="1440"/>
    </w:pPr>
    <w:rPr>
      <w:rFonts w:ascii="Garamond" w:hAnsi="Garamond" w:eastAsia="Times New Roman" w:cs="宋体"/>
      <w:spacing w:val="-2"/>
      <w:kern w:val="0"/>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eastAsiaTheme="minorEastAsia"/>
      <w:kern w:val="0"/>
      <w:sz w:val="21"/>
      <w:szCs w:val="24"/>
    </w:rPr>
  </w:style>
  <w:style w:type="paragraph" w:customStyle="1" w:styleId="6">
    <w:name w:val="正  文"/>
    <w:basedOn w:val="1"/>
    <w:qFormat/>
    <w:uiPriority w:val="0"/>
    <w:pPr>
      <w:ind w:firstLine="200" w:firstLineChars="200"/>
      <w:textAlignment w:val="baseline"/>
    </w:pPr>
    <w:rPr>
      <w:rFonts w:ascii="Calibri" w:hAnsi="Calibri" w:eastAsia="宋体" w:cs="黑体"/>
      <w:sz w:val="21"/>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2021-08-26T09:08:51Z</dcterms:created>
  <dc:creator>Lenovo</dc:creator>
  <cp:lastModifiedBy>Max</cp:lastModifiedBy>
  <dcterms:modified xsi:type="dcterms:W3CDTF">2021-08-26T09:08:59Z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C40551ECDEBF40F8A68948DBF0D4AAB6</vt:lpwstr>
  </property>
</Properties>
</file>